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pBdr/>
        <w:jc w:val="center"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b/>
          <w:color w:val="000000"/>
          <w:sz w:val="22"/>
          <w:szCs w:val="22"/>
        </w:rPr>
        <w:t>KARTA KURSU</w:t>
      </w:r>
    </w:p>
    <w:p>
      <w:pPr>
        <w:pStyle w:val="Normal"/>
        <w:widowControl w:val="false"/>
        <w:pBdr/>
        <w:jc w:val="center"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tbl>
      <w:tblPr>
        <w:tblStyle w:val="a"/>
        <w:tblW w:w="9640" w:type="dxa"/>
        <w:jc w:val="left"/>
        <w:tblInd w:w="-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80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before="60" w:after="60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Wybrane zagadnienia z historii sztuki (A)</w:t>
            </w:r>
          </w:p>
        </w:tc>
      </w:tr>
      <w:tr>
        <w:trPr>
          <w:trHeight w:val="360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before="60" w:after="60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  <w:lang w:val="en-US"/>
              </w:rPr>
              <w:t>Art History of Art. Selected issues (A)</w:t>
            </w:r>
          </w:p>
        </w:tc>
      </w:tr>
    </w:tbl>
    <w:p>
      <w:pPr>
        <w:pStyle w:val="Normal"/>
        <w:widowControl w:val="false"/>
        <w:pBdr/>
        <w:jc w:val="center"/>
        <w:rPr>
          <w:rFonts w:ascii="Arial" w:hAnsi="Arial" w:eastAsia="Arial Narrow" w:cs="Arial"/>
          <w:color w:val="000000"/>
          <w:sz w:val="22"/>
          <w:szCs w:val="22"/>
          <w:lang w:val="en-US"/>
        </w:rPr>
      </w:pPr>
      <w:r>
        <w:rPr>
          <w:rFonts w:eastAsia="Arial Narrow" w:cs="Arial" w:ascii="Arial" w:hAnsi="Arial"/>
          <w:color w:val="000000"/>
          <w:sz w:val="22"/>
          <w:szCs w:val="22"/>
          <w:lang w:val="en-US"/>
        </w:rPr>
      </w:r>
    </w:p>
    <w:p>
      <w:pPr>
        <w:pStyle w:val="Normal"/>
        <w:widowControl w:val="false"/>
        <w:pBdr/>
        <w:jc w:val="center"/>
        <w:rPr>
          <w:rFonts w:ascii="Arial" w:hAnsi="Arial" w:eastAsia="Arial Narrow" w:cs="Arial"/>
          <w:color w:val="000000"/>
          <w:sz w:val="22"/>
          <w:szCs w:val="22"/>
          <w:lang w:val="en-US"/>
        </w:rPr>
      </w:pPr>
      <w:r>
        <w:rPr>
          <w:rFonts w:eastAsia="Arial Narrow" w:cs="Arial" w:ascii="Arial" w:hAnsi="Arial"/>
          <w:color w:val="000000"/>
          <w:sz w:val="22"/>
          <w:szCs w:val="22"/>
          <w:lang w:val="en-US"/>
        </w:rPr>
      </w:r>
    </w:p>
    <w:tbl>
      <w:tblPr>
        <w:tblStyle w:val="a0"/>
        <w:tblW w:w="9640" w:type="dxa"/>
        <w:jc w:val="left"/>
        <w:tblInd w:w="-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/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Dr Krzysztof Siatka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Zespół dydaktyczny</w:t>
            </w:r>
          </w:p>
        </w:tc>
      </w:tr>
      <w:tr>
        <w:trPr>
          <w:trHeight w:val="340" w:hRule="atLeast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Katedra Teorii Sztuki i Edukacji Artystycznej</w:t>
            </w:r>
          </w:p>
        </w:tc>
      </w:tr>
      <w:tr>
        <w:trPr>
          <w:trHeight w:val="760" w:hRule="atLeast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  <w:t>Opis kursu (cele kształcenia)</w:t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tbl>
      <w:tblPr>
        <w:tblStyle w:val="a1"/>
        <w:tblW w:w="9640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0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W ramach kursu zostaną przybliżone najważniejsze zagadnienia z historii sztuki powszechnej od czasów prehistorycznych po współczesność. Zagadnienia omawiane będą zgodnie z chronologią dziejów ale w układzie problemowym, tak aby w toku rozważań możliwa była refleksja o obecności danego wątku we współczesnej kulturze wizualnej.</w:t>
            </w:r>
          </w:p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Kurs prowadzony jest w języku polskim.</w:t>
            </w:r>
          </w:p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  <w:t>Warunki wstępne</w:t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tbl>
      <w:tblPr>
        <w:tblStyle w:val="a2"/>
        <w:tblW w:w="9640" w:type="dxa"/>
        <w:jc w:val="left"/>
        <w:tblInd w:w="-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50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Ogólna wiedza humanistyczna na poziomie szkoły średniej</w:t>
            </w:r>
          </w:p>
        </w:tc>
      </w:tr>
      <w:tr>
        <w:trPr>
          <w:trHeight w:val="54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Posiada umiejętność przygotowywania wystąpień ustnych i komunikatów pisemnych</w:t>
            </w:r>
          </w:p>
        </w:tc>
      </w:tr>
      <w:tr>
        <w:trPr>
          <w:trHeight w:val="50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  <w:t xml:space="preserve">Efekty kształcenia </w:t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tbl>
      <w:tblPr>
        <w:tblStyle w:val="a3"/>
        <w:tblW w:w="9640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20" w:hRule="atLeast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Odniesienie do efektów kierunkowych</w:t>
            </w:r>
          </w:p>
        </w:tc>
      </w:tr>
      <w:tr>
        <w:trPr>
          <w:trHeight w:val="1000" w:hRule="atLeast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 xml:space="preserve">W01 - Student posiada podstawową wiedzę na temat metodologii historii sztuki oraz estetyki </w:t>
            </w:r>
          </w:p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W02 - posiada wiedzę z historii sztuki, zna style i kierunki artystyczne oraz dzieła najważniejszych artystów</w:t>
            </w:r>
          </w:p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 xml:space="preserve">W03- zna szeroki transdyscyplinarny kontekst zjawisk w dziedzinie sztuki, 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K_W05 – K_W10</w:t>
            </w:r>
          </w:p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tbl>
      <w:tblPr>
        <w:tblStyle w:val="a4"/>
        <w:tblW w:w="9640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20" w:hRule="atLeast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Odniesienie do efektów kierunkowych</w:t>
            </w:r>
          </w:p>
        </w:tc>
      </w:tr>
      <w:tr>
        <w:trPr>
          <w:trHeight w:val="580" w:hRule="atLeast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U01, potrafi analizować dzieła sztuki jako teksty kultury i wykorzystać tę wiedzę w podstawowych wypowiedziach ustnych i pisemnych oraz w praktyce artystycznej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K_U04; K_U18</w:t>
            </w:r>
          </w:p>
        </w:tc>
      </w:tr>
    </w:tbl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tbl>
      <w:tblPr>
        <w:tblStyle w:val="a5"/>
        <w:tblW w:w="9640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Odniesienie do efektów kierunkowych</w:t>
            </w:r>
          </w:p>
        </w:tc>
      </w:tr>
      <w:tr>
        <w:trPr>
          <w:trHeight w:val="720" w:hRule="atLeast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K01, potrafi ocenić pod katem merytorycznym zebrane informacje</w:t>
            </w:r>
          </w:p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 xml:space="preserve">K02,  wykorzystuje zdobytą wiedzę i dzieli się nią w pracy zespołowej </w:t>
            </w:r>
          </w:p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K_K02, K_K03</w:t>
            </w:r>
          </w:p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K_K05; K_K06</w:t>
            </w:r>
          </w:p>
        </w:tc>
      </w:tr>
    </w:tbl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tbl>
      <w:tblPr>
        <w:tblStyle w:val="a6"/>
        <w:tblW w:w="9639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09"/>
        <w:gridCol w:w="1225"/>
        <w:gridCol w:w="850"/>
        <w:gridCol w:w="272"/>
        <w:gridCol w:w="862"/>
        <w:gridCol w:w="315"/>
        <w:gridCol w:w="820"/>
        <w:gridCol w:w="284"/>
        <w:gridCol w:w="849"/>
        <w:gridCol w:w="284"/>
        <w:gridCol w:w="851"/>
        <w:gridCol w:w="284"/>
        <w:gridCol w:w="849"/>
        <w:gridCol w:w="284"/>
      </w:tblGrid>
      <w:tr>
        <w:trPr>
          <w:trHeight w:val="420" w:hRule="atLeast"/>
        </w:trPr>
        <w:tc>
          <w:tcPr>
            <w:tcW w:w="9638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before="57" w:after="57"/>
              <w:ind w:left="45" w:right="137" w:hanging="0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Organizacja</w:t>
            </w:r>
          </w:p>
        </w:tc>
      </w:tr>
      <w:tr>
        <w:trPr>
          <w:trHeight w:val="640" w:hRule="atLeast"/>
        </w:trPr>
        <w:tc>
          <w:tcPr>
            <w:tcW w:w="160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Wykład</w:t>
            </w:r>
          </w:p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Ćwiczenia w grupach</w:t>
            </w:r>
          </w:p>
        </w:tc>
      </w:tr>
      <w:tr>
        <w:trPr>
          <w:trHeight w:val="460" w:hRule="atLeast"/>
        </w:trPr>
        <w:tc>
          <w:tcPr>
            <w:tcW w:w="160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225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82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10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  <w:t>Opis metod prowadzenia zajęć</w:t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tbl>
      <w:tblPr>
        <w:tblStyle w:val="a7"/>
        <w:tblW w:w="9622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68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pBdr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Zajęcia prowadzone są w formie wykładu opatrzonego z prezentacjami slajdów. Inicjowana przez prowadzącego bywa dyskusja. Możliwe są pytania studentów dotyczące treści prezentowanych na wykładzie.</w:t>
            </w:r>
          </w:p>
          <w:p>
            <w:pPr>
              <w:pStyle w:val="Normal"/>
              <w:widowControl w:val="false"/>
              <w:pBdr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  <w:t>Formy sprawdzania efektów kształcenia</w:t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tbl>
      <w:tblPr>
        <w:tblStyle w:val="a8"/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0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ind w:left="113" w:right="113" w:hanging="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ind w:left="113" w:right="113" w:hanging="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E – 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ind w:left="113" w:right="113" w:hanging="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ind w:left="113" w:right="113" w:hanging="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ind w:left="113" w:right="113" w:hanging="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ind w:left="113" w:right="113" w:hanging="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ind w:left="113" w:right="113" w:hanging="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ind w:left="113" w:right="113" w:hanging="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ind w:left="113" w:right="113" w:hanging="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ind w:left="113" w:right="113" w:hanging="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ind w:left="113" w:right="113" w:hanging="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ind w:left="113" w:right="113" w:hanging="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ind w:left="113" w:right="113" w:hanging="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ind w:left="113" w:right="113" w:hanging="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Inne</w:t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W05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W06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K05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K06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tbl>
      <w:tblPr>
        <w:tblStyle w:val="a9"/>
        <w:tblW w:w="9640" w:type="dxa"/>
        <w:jc w:val="left"/>
        <w:tblInd w:w="-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before="57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pBdr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Warunkiem zaliczenia kursu w pierwszym semestrze jest obecność na zajęciach. Ocena na koniec semestru jest wystawiana na podstawie testu sprawdzającego opanowanie wiedzy z wykładów.</w:t>
            </w:r>
          </w:p>
        </w:tc>
      </w:tr>
    </w:tbl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tbl>
      <w:tblPr>
        <w:tblStyle w:val="aa"/>
        <w:tblW w:w="17339" w:type="dxa"/>
        <w:jc w:val="left"/>
        <w:tblInd w:w="-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40"/>
        <w:gridCol w:w="7700"/>
        <w:gridCol w:w="7699"/>
      </w:tblGrid>
      <w:tr>
        <w:trPr>
          <w:trHeight w:val="44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before="0" w:after="57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pBdr/>
              <w:ind w:right="-828" w:hang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pBdr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  <w:t>Treści merytoryczne (wykaz tematów)</w:t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tbl>
      <w:tblPr>
        <w:tblStyle w:val="ab"/>
        <w:tblW w:w="9622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5" w:hanging="360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Wprowadzenie do merytorycznych treści wykładu.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5" w:hanging="360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Historia sztuki wśród nauk humanistycznych.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5" w:hanging="360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Sztuka prehistoryczna. Pierwsze cywilizacje: Egipt, Mezopotamia, Kreta.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5" w:hanging="360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Sztuka starożytnej Grecji.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5" w:hanging="360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Sztuka starożytnego Rzymu.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5" w:hanging="360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Sztuka wczesnochrześcijańska i bizantyńska.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5" w:hanging="360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Sztuka wczesnego średniowiecza. Sztuka wieków ciemnych, renesans karoliński, sztuka Ottonów.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5" w:hanging="360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Sztuka dojrzałego średniowiecza. Sztuka romańska i gotycka.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5" w:hanging="360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Sztuka nowożytna we Włoszech. Renesans i manieryzm.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5" w:hanging="360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Sztuka nowożytna poza Italią. W tym sztuka krajów protestanckich.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5" w:hanging="360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Sztuka nowożytna. Barok włoski.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425" w:hanging="360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Sztuka nowożytna XVII i XVIII w. poza Włochami.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lineRule="auto" w:line="276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  <w:t>Wykaz literatury podstawowej</w:t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tbl>
      <w:tblPr>
        <w:tblStyle w:val="ad"/>
        <w:tblW w:w="9622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5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E.H. Gombrich, </w:t>
            </w:r>
            <w:r>
              <w:rPr>
                <w:rFonts w:cs="Arial" w:ascii="Arial" w:hAnsi="Arial"/>
                <w:i/>
                <w:iCs/>
                <w:color w:val="000000"/>
                <w:sz w:val="22"/>
                <w:szCs w:val="22"/>
              </w:rPr>
              <w:t>O sztuce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, Rebis, Poznań 2018. (lub wcześniejsze wydania),</w:t>
            </w:r>
          </w:p>
          <w:p>
            <w:pPr>
              <w:pStyle w:val="Normal"/>
              <w:widowControl w:val="false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J. Białostocki, </w:t>
            </w:r>
            <w:r>
              <w:rPr>
                <w:rFonts w:cs="Arial" w:ascii="Arial" w:hAnsi="Arial"/>
                <w:i/>
                <w:iCs/>
                <w:color w:val="000000"/>
                <w:sz w:val="22"/>
                <w:szCs w:val="22"/>
              </w:rPr>
              <w:t>Sztuka cenniejsza niż złoto. Opowieść o sztuce europejskiej naszej ery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, t. 1-2, PWN, Warszawa 2013. (różne wydania),</w:t>
            </w:r>
          </w:p>
          <w:p>
            <w:pPr>
              <w:pStyle w:val="Normal"/>
              <w:widowControl w:val="false"/>
              <w:pBdr/>
              <w:rPr>
                <w:rFonts w:ascii="Arial" w:hAnsi="Arial" w:cs="Arial"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2"/>
                <w:szCs w:val="22"/>
              </w:rPr>
              <w:t>Sztuka świata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, t. 1-10 oraz (t. 11-18), Arkady,  Warszawa 1991 (różne wydania).</w:t>
            </w:r>
          </w:p>
        </w:tc>
      </w:tr>
    </w:tbl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  <w:t>Wykaz literatury uzupełniającej</w:t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tbl>
      <w:tblPr>
        <w:tblStyle w:val="ae"/>
        <w:tblW w:w="9622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40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pBdr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Verdana" w:cs="Arial" w:ascii="Arial" w:hAnsi="Arial"/>
                <w:color w:val="000000"/>
                <w:sz w:val="22"/>
                <w:szCs w:val="22"/>
              </w:rPr>
              <w:t>Zostanie podana w trakcie kolejnych wykładów.</w:t>
            </w:r>
          </w:p>
        </w:tc>
      </w:tr>
    </w:tbl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  <w:t>Bilans godzinowy zgodny z CNPS (Całkowity Nakład Pracy Studenta)</w:t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>
          <w:rFonts w:eastAsia="Arial Narrow" w:cs="Arial" w:ascii="Arial" w:hAnsi="Arial"/>
          <w:color w:val="000000"/>
          <w:sz w:val="22"/>
          <w:szCs w:val="22"/>
        </w:rPr>
      </w:r>
    </w:p>
    <w:tbl>
      <w:tblPr>
        <w:tblStyle w:val="af"/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66"/>
        <w:gridCol w:w="5749"/>
        <w:gridCol w:w="1067"/>
      </w:tblGrid>
      <w:tr>
        <w:trPr>
          <w:trHeight w:val="320" w:hRule="atLeast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360" w:hanging="0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360" w:hanging="0"/>
              <w:jc w:val="both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25</w:t>
            </w:r>
          </w:p>
        </w:tc>
      </w:tr>
      <w:tr>
        <w:trPr>
          <w:trHeight w:val="320" w:hRule="atLeast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360" w:hanging="0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360" w:hanging="0"/>
              <w:jc w:val="both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660" w:hRule="atLeast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360" w:hanging="0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360" w:hanging="0"/>
              <w:jc w:val="both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360" w:hanging="0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360" w:hanging="0"/>
              <w:jc w:val="both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10</w:t>
            </w:r>
          </w:p>
        </w:tc>
      </w:tr>
      <w:tr>
        <w:trPr>
          <w:trHeight w:val="700" w:hRule="atLeast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360" w:hanging="0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360" w:hanging="0"/>
              <w:jc w:val="both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720" w:hRule="atLeast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360" w:hanging="0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360" w:hanging="0"/>
              <w:jc w:val="both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360" w:hanging="0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Przygotowanie do Egzaminu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360" w:hanging="0"/>
              <w:jc w:val="both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</w:tr>
      <w:tr>
        <w:trPr>
          <w:trHeight w:val="360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360" w:hanging="0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360" w:hanging="0"/>
              <w:jc w:val="both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50</w:t>
            </w:r>
          </w:p>
        </w:tc>
      </w:tr>
      <w:tr>
        <w:trPr>
          <w:trHeight w:val="380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360" w:hanging="0"/>
              <w:jc w:val="center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360" w:hanging="0"/>
              <w:jc w:val="both"/>
              <w:rPr>
                <w:rFonts w:ascii="Arial" w:hAnsi="Arial" w:eastAsia="Arial Narrow" w:cs="Arial"/>
                <w:color w:val="000000"/>
                <w:sz w:val="22"/>
                <w:szCs w:val="22"/>
              </w:rPr>
            </w:pPr>
            <w:r>
              <w:rPr>
                <w:rFonts w:eastAsia="Arial Narrow" w:cs="Arial" w:ascii="Arial" w:hAnsi="Arial"/>
                <w:color w:val="000000"/>
                <w:sz w:val="22"/>
                <w:szCs w:val="22"/>
              </w:rPr>
              <w:t>2</w:t>
            </w:r>
          </w:p>
        </w:tc>
      </w:tr>
    </w:tbl>
    <w:p>
      <w:pPr>
        <w:pStyle w:val="Normal"/>
        <w:widowControl w:val="false"/>
        <w:pBdr/>
        <w:rPr>
          <w:rFonts w:ascii="Arial" w:hAnsi="Arial" w:eastAsia="Arial Narrow" w:cs="Arial"/>
          <w:color w:val="00000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54" w:top="1276" w:footer="709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tabs>
        <w:tab w:val="clear" w:pos="720"/>
        <w:tab w:val="center" w:pos="4536" w:leader="none"/>
        <w:tab w:val="right" w:pos="9072" w:leader="none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4</w:t>
    </w:r>
    <w:r>
      <w:rPr>
        <w:sz w:val="24"/>
        <w:szCs w:val="24"/>
        <w:color w:val="000000"/>
      </w:rPr>
      <w:fldChar w:fldCharType="end"/>
    </w:r>
  </w:p>
  <w:p>
    <w:pPr>
      <w:pStyle w:val="Normal"/>
      <w:widowControl w:val="false"/>
      <w:pBdr/>
      <w:tabs>
        <w:tab w:val="clear" w:pos="720"/>
        <w:tab w:val="center" w:pos="4536" w:leader="none"/>
        <w:tab w:val="right" w:pos="9072" w:leader="none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widowControl w:val="false"/>
      <w:pBdr/>
      <w:jc w:val="right"/>
      <w:rPr>
        <w:rFonts w:ascii="Arial" w:hAnsi="Arial" w:eastAsia="Arial" w:cs="Arial"/>
        <w:color w:val="800000"/>
        <w:sz w:val="18"/>
        <w:szCs w:val="18"/>
      </w:rPr>
    </w:pPr>
    <w:r>
      <w:rPr>
        <w:rFonts w:eastAsia="Arial" w:cs="Arial" w:ascii="Arial" w:hAnsi="Arial"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sz w:val="22"/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d1e05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400b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LibreOffice/7.0.2.2$Windows_X86_64 LibreOffice_project/8349ace3c3162073abd90d81fd06dcfb6b36b994</Application>
  <Pages>5</Pages>
  <Words>594</Words>
  <Characters>3628</Characters>
  <CharactersWithSpaces>4075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2018-10-14T12:40:00Z</dcterms:created>
  <dc:creator>Krzysztof Siatka</dc:creator>
  <dc:description/>
  <dc:language>pl-PL</dc:language>
  <cp:lastModifiedBy>Sania</cp:lastModifiedBy>
  <dcterms:modified xsi:type="dcterms:W3CDTF">2019-11-25T16:09:00Z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